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124" w:firstLineChars="590"/>
        <w:rPr>
          <w:rFonts w:hint="eastAsia" w:asciiTheme="majorEastAsia" w:hAnsiTheme="majorEastAsia" w:eastAsiaTheme="majorEastAsia" w:cstheme="majorEastAsia"/>
          <w:kern w:val="44"/>
          <w:position w:val="6"/>
          <w:sz w:val="36"/>
          <w:szCs w:val="36"/>
          <w:lang w:val="en-US" w:eastAsia="zh-CN" w:bidi="ar-SA"/>
        </w:rPr>
      </w:pPr>
      <w:r>
        <w:rPr>
          <w:rFonts w:hint="eastAsia" w:asciiTheme="majorEastAsia" w:hAnsiTheme="majorEastAsia" w:eastAsiaTheme="majorEastAsia" w:cstheme="majorEastAsia"/>
          <w:kern w:val="44"/>
          <w:position w:val="6"/>
          <w:sz w:val="36"/>
          <w:szCs w:val="36"/>
          <w:lang w:val="en-US" w:eastAsia="zh-CN" w:bidi="ar-SA"/>
        </w:rPr>
        <w:t>评标标准及综合评分</w:t>
      </w:r>
    </w:p>
    <w:tbl>
      <w:tblPr>
        <w:tblStyle w:val="7"/>
        <w:tblpPr w:leftFromText="180" w:rightFromText="180" w:vertAnchor="text" w:horzAnchor="page" w:tblpX="2270" w:tblpY="124"/>
        <w:tblOverlap w:val="never"/>
        <w:tblW w:w="7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5322"/>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455" w:type="dxa"/>
            <w:vAlign w:val="center"/>
          </w:tcPr>
          <w:p>
            <w:pPr>
              <w:adjustRightInd w:val="0"/>
              <w:snapToGrid w:val="0"/>
              <w:jc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rPr>
              <w:t>指</w:t>
            </w:r>
            <w:r>
              <w:rPr>
                <w:rFonts w:hint="eastAsia" w:ascii="方正黑体_GBK" w:hAnsi="方正黑体_GBK" w:eastAsia="方正黑体_GBK" w:cs="方正黑体_GBK"/>
                <w:bCs/>
                <w:color w:val="000000"/>
                <w:sz w:val="24"/>
                <w:lang w:val="en-US" w:eastAsia="zh-CN"/>
              </w:rPr>
              <w:t xml:space="preserve">  </w:t>
            </w:r>
            <w:r>
              <w:rPr>
                <w:rFonts w:hint="eastAsia" w:ascii="方正黑体_GBK" w:hAnsi="方正黑体_GBK" w:eastAsia="方正黑体_GBK" w:cs="方正黑体_GBK"/>
                <w:bCs/>
                <w:color w:val="000000"/>
                <w:sz w:val="24"/>
              </w:rPr>
              <w:t>标</w:t>
            </w:r>
          </w:p>
        </w:tc>
        <w:tc>
          <w:tcPr>
            <w:tcW w:w="5322" w:type="dxa"/>
            <w:vAlign w:val="center"/>
          </w:tcPr>
          <w:p>
            <w:pPr>
              <w:adjustRightInd w:val="0"/>
              <w:snapToGrid w:val="0"/>
              <w:jc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rPr>
              <w:t>指标描述</w:t>
            </w:r>
          </w:p>
        </w:tc>
        <w:tc>
          <w:tcPr>
            <w:tcW w:w="809" w:type="dxa"/>
            <w:vAlign w:val="center"/>
          </w:tcPr>
          <w:p>
            <w:pPr>
              <w:adjustRightInd w:val="0"/>
              <w:snapToGrid w:val="0"/>
              <w:jc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trPr>
        <w:tc>
          <w:tcPr>
            <w:tcW w:w="1455" w:type="dxa"/>
            <w:vAlign w:val="center"/>
          </w:tcPr>
          <w:p>
            <w:pPr>
              <w:spacing w:after="50"/>
              <w:ind w:right="-10" w:rightChars="0"/>
              <w:jc w:val="center"/>
              <w:rPr>
                <w:rFonts w:hint="default" w:ascii="方正黑体_GBK" w:hAnsi="方正黑体_GBK" w:eastAsia="方正黑体_GBK" w:cs="方正黑体_GBK"/>
                <w:bCs/>
                <w:color w:val="000000"/>
                <w:sz w:val="24"/>
                <w:lang w:val="en-US" w:eastAsia="zh-CN"/>
              </w:rPr>
            </w:pPr>
            <w:r>
              <w:rPr>
                <w:rFonts w:hint="eastAsia" w:ascii="方正黑体_GBK" w:hAnsi="方正黑体_GBK" w:eastAsia="方正黑体_GBK" w:cs="方正黑体_GBK"/>
                <w:bCs/>
                <w:color w:val="000000"/>
                <w:sz w:val="24"/>
                <w:lang w:eastAsia="zh-CN"/>
              </w:rPr>
              <w:t>专业</w:t>
            </w:r>
            <w:r>
              <w:rPr>
                <w:rFonts w:hint="eastAsia" w:ascii="方正黑体_GBK" w:hAnsi="方正黑体_GBK" w:eastAsia="方正黑体_GBK" w:cs="方正黑体_GBK"/>
                <w:bCs/>
                <w:color w:val="000000"/>
                <w:sz w:val="24"/>
              </w:rPr>
              <w:t>资质</w:t>
            </w:r>
          </w:p>
        </w:tc>
        <w:tc>
          <w:tcPr>
            <w:tcW w:w="5322" w:type="dxa"/>
            <w:vAlign w:val="center"/>
          </w:tcPr>
          <w:p>
            <w:pPr>
              <w:snapToGrid w:val="0"/>
              <w:spacing w:line="240" w:lineRule="atLeast"/>
              <w:ind w:firstLine="480" w:firstLineChars="200"/>
              <w:rPr>
                <w:rFonts w:hint="eastAsia"/>
                <w:lang w:val="en-US" w:eastAsia="zh-CN"/>
              </w:rPr>
            </w:pPr>
            <w:r>
              <w:rPr>
                <w:rFonts w:hint="eastAsia" w:ascii="方正仿宋_GBK" w:hAnsi="方正仿宋_GBK" w:eastAsia="方正仿宋_GBK" w:cs="方正仿宋_GBK"/>
                <w:sz w:val="24"/>
              </w:rPr>
              <w:t>投标单位</w:t>
            </w:r>
            <w:r>
              <w:rPr>
                <w:rFonts w:hint="eastAsia" w:ascii="方正仿宋_GBK" w:hAnsi="方正仿宋_GBK" w:eastAsia="方正仿宋_GBK" w:cs="方正仿宋_GBK"/>
                <w:sz w:val="24"/>
                <w:lang w:eastAsia="zh-CN"/>
              </w:rPr>
              <w:t>提供</w:t>
            </w:r>
            <w:r>
              <w:rPr>
                <w:rFonts w:hint="eastAsia" w:ascii="方正仿宋_GBK" w:hAnsi="方正仿宋_GBK" w:eastAsia="方正仿宋_GBK" w:cs="方正仿宋_GBK"/>
                <w:sz w:val="24"/>
              </w:rPr>
              <w:t>营业执照复印件、图书出版许可证复印件</w:t>
            </w:r>
            <w:r>
              <w:rPr>
                <w:rFonts w:hint="eastAsia" w:ascii="方正仿宋_GBK" w:hAnsi="方正仿宋_GBK" w:eastAsia="方正仿宋_GBK" w:cs="方正仿宋_GBK"/>
                <w:sz w:val="24"/>
                <w:lang w:eastAsia="zh-CN"/>
              </w:rPr>
              <w:t>、单位</w:t>
            </w:r>
            <w:r>
              <w:rPr>
                <w:rFonts w:hint="eastAsia" w:ascii="方正仿宋_GBK" w:hAnsi="方正仿宋_GBK" w:eastAsia="方正仿宋_GBK" w:cs="方正仿宋_GBK"/>
                <w:sz w:val="24"/>
              </w:rPr>
              <w:t>及团队成员</w:t>
            </w:r>
            <w:r>
              <w:rPr>
                <w:rFonts w:hint="eastAsia" w:ascii="方正仿宋_GBK" w:hAnsi="方正仿宋_GBK" w:eastAsia="方正仿宋_GBK" w:cs="方正仿宋_GBK"/>
                <w:sz w:val="24"/>
                <w:lang w:val="en-US" w:eastAsia="zh-CN"/>
              </w:rPr>
              <w:t>近三年来</w:t>
            </w:r>
            <w:r>
              <w:rPr>
                <w:rFonts w:hint="eastAsia" w:ascii="方正仿宋_GBK" w:hAnsi="方正仿宋_GBK" w:eastAsia="方正仿宋_GBK" w:cs="方正仿宋_GBK"/>
                <w:sz w:val="24"/>
              </w:rPr>
              <w:t>获奖</w:t>
            </w:r>
            <w:r>
              <w:rPr>
                <w:rFonts w:hint="eastAsia" w:ascii="方正仿宋_GBK" w:hAnsi="方正仿宋_GBK" w:eastAsia="方正仿宋_GBK" w:cs="方正仿宋_GBK"/>
                <w:sz w:val="24"/>
                <w:lang w:val="en-US" w:eastAsia="zh-CN"/>
              </w:rPr>
              <w:t>相关</w:t>
            </w:r>
            <w:r>
              <w:rPr>
                <w:rFonts w:hint="eastAsia" w:ascii="方正仿宋_GBK" w:hAnsi="方正仿宋_GBK" w:eastAsia="方正仿宋_GBK" w:cs="方正仿宋_GBK"/>
                <w:sz w:val="24"/>
              </w:rPr>
              <w:t>荣誉证书复印件</w:t>
            </w:r>
            <w:r>
              <w:rPr>
                <w:rFonts w:hint="eastAsia" w:ascii="方正仿宋_GBK" w:hAnsi="方正仿宋_GBK" w:eastAsia="方正仿宋_GBK" w:cs="方正仿宋_GBK"/>
                <w:sz w:val="24"/>
                <w:lang w:eastAsia="zh-CN"/>
              </w:rPr>
              <w:t>，并</w:t>
            </w:r>
            <w:r>
              <w:rPr>
                <w:rFonts w:hint="eastAsia" w:ascii="方正仿宋_GBK" w:hAnsi="方正仿宋_GBK" w:eastAsia="方正仿宋_GBK" w:cs="方正仿宋_GBK"/>
                <w:sz w:val="24"/>
                <w:lang w:val="en-US" w:eastAsia="zh-CN"/>
              </w:rPr>
              <w:t>加盖公章</w:t>
            </w:r>
            <w:r>
              <w:rPr>
                <w:rFonts w:hint="eastAsia" w:ascii="方正仿宋_GBK" w:hAnsi="方正仿宋_GBK" w:eastAsia="方正仿宋_GBK" w:cs="方正仿宋_GBK"/>
                <w:sz w:val="24"/>
                <w:lang w:eastAsia="zh-CN"/>
              </w:rPr>
              <w:t>。</w:t>
            </w:r>
          </w:p>
          <w:p>
            <w:pPr>
              <w:snapToGrid w:val="0"/>
              <w:spacing w:line="240" w:lineRule="atLeas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根据提供材料进行比较</w:t>
            </w:r>
            <w:r>
              <w:rPr>
                <w:rFonts w:hint="eastAsia" w:ascii="方正仿宋_GBK" w:hAnsi="方正仿宋_GBK" w:eastAsia="方正仿宋_GBK" w:cs="方正仿宋_GBK"/>
                <w:sz w:val="24"/>
              </w:rPr>
              <w:t>酌情打分。</w:t>
            </w:r>
          </w:p>
        </w:tc>
        <w:tc>
          <w:tcPr>
            <w:tcW w:w="809" w:type="dxa"/>
            <w:vAlign w:val="center"/>
          </w:tcPr>
          <w:p>
            <w:pPr>
              <w:snapToGrid w:val="0"/>
              <w:spacing w:line="240" w:lineRule="atLeas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0</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14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50" w:line="240" w:lineRule="atLeast"/>
              <w:ind w:right="-11"/>
              <w:jc w:val="center"/>
              <w:textAlignment w:val="auto"/>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lang w:eastAsia="zh-CN"/>
              </w:rPr>
              <w:t>业绩</w:t>
            </w:r>
          </w:p>
        </w:tc>
        <w:tc>
          <w:tcPr>
            <w:tcW w:w="5322" w:type="dxa"/>
            <w:vAlign w:val="center"/>
          </w:tcPr>
          <w:p>
            <w:pPr>
              <w:snapToGrid w:val="0"/>
              <w:spacing w:line="240" w:lineRule="atLeas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投标单位提供近年来出版过的中医古籍整理类或中医流派研究类图书项目证明材料，加盖公章。每提供一种得 5分，不提供或提供材料不符合要求不得分，满分 20分。</w:t>
            </w:r>
          </w:p>
        </w:tc>
        <w:tc>
          <w:tcPr>
            <w:tcW w:w="809" w:type="dxa"/>
            <w:vAlign w:val="center"/>
          </w:tcPr>
          <w:p>
            <w:pPr>
              <w:snapToGrid w:val="0"/>
              <w:spacing w:line="240" w:lineRule="atLeas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0-</w:t>
            </w:r>
            <w:r>
              <w:rPr>
                <w:rFonts w:hint="eastAsia" w:ascii="方正仿宋_GBK" w:hAnsi="方正仿宋_GBK" w:eastAsia="方正仿宋_GBK" w:cs="方正仿宋_GBK"/>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1455" w:type="dxa"/>
            <w:shd w:val="clear" w:color="auto" w:fill="auto"/>
            <w:vAlign w:val="center"/>
          </w:tcPr>
          <w:p>
            <w:pPr>
              <w:spacing w:after="50"/>
              <w:ind w:right="-10"/>
              <w:jc w:val="center"/>
              <w:rPr>
                <w:rFonts w:hint="eastAsia" w:ascii="方正黑体_GBK" w:hAnsi="方正黑体_GBK" w:eastAsia="方正黑体_GBK" w:cs="方正黑体_GBK"/>
                <w:bCs/>
                <w:color w:val="000000"/>
                <w:sz w:val="24"/>
                <w:lang w:eastAsia="zh-CN"/>
              </w:rPr>
            </w:pPr>
            <w:r>
              <w:rPr>
                <w:rFonts w:hint="eastAsia" w:ascii="方正黑体_GBK" w:hAnsi="方正黑体_GBK" w:eastAsia="方正黑体_GBK" w:cs="方正黑体_GBK"/>
                <w:bCs/>
                <w:color w:val="000000"/>
                <w:sz w:val="24"/>
                <w:lang w:val="en-US" w:eastAsia="zh-CN"/>
              </w:rPr>
              <w:t>履约能力</w:t>
            </w:r>
          </w:p>
        </w:tc>
        <w:tc>
          <w:tcPr>
            <w:tcW w:w="5322" w:type="dxa"/>
            <w:vAlign w:val="center"/>
          </w:tcPr>
          <w:p>
            <w:pPr>
              <w:pStyle w:val="2"/>
              <w:ind w:left="0" w:leftChars="0" w:firstLine="480" w:firstLineChars="200"/>
              <w:rPr>
                <w:rFonts w:hint="default" w:eastAsia="方正仿宋_GBK"/>
                <w:lang w:val="en-US" w:eastAsia="zh-CN"/>
              </w:rPr>
            </w:pPr>
            <w:r>
              <w:rPr>
                <w:rFonts w:hint="eastAsia" w:ascii="方正仿宋_GBK" w:hAnsi="方正仿宋_GBK" w:eastAsia="方正仿宋_GBK" w:cs="方正仿宋_GBK"/>
                <w:sz w:val="24"/>
                <w:szCs w:val="22"/>
                <w:lang w:val="en-US" w:eastAsia="zh-CN" w:bidi="ar-SA"/>
              </w:rPr>
              <w:t>投标单位提供具有副高级以上出版专业职称且具有中医类相关专业背景证明的，每完整提供一套证书（副高级以上出版专业职称证书+中医类相关专业学位或学历证书）扫描件得 5分。不提供或提供不全不得分，满分 20分。</w:t>
            </w:r>
          </w:p>
        </w:tc>
        <w:tc>
          <w:tcPr>
            <w:tcW w:w="809" w:type="dxa"/>
            <w:vAlign w:val="center"/>
          </w:tcPr>
          <w:p>
            <w:pPr>
              <w:snapToGrid w:val="0"/>
              <w:spacing w:line="240" w:lineRule="atLeas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0-</w:t>
            </w:r>
            <w:r>
              <w:rPr>
                <w:rFonts w:hint="eastAsia" w:ascii="方正仿宋_GBK" w:hAnsi="方正仿宋_GBK" w:eastAsia="方正仿宋_GBK" w:cs="方正仿宋_GBK"/>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1455" w:type="dxa"/>
            <w:shd w:val="clear" w:color="auto" w:fill="auto"/>
            <w:vAlign w:val="center"/>
          </w:tcPr>
          <w:p>
            <w:pPr>
              <w:spacing w:after="50"/>
              <w:ind w:right="-10"/>
              <w:jc w:val="center"/>
              <w:rPr>
                <w:rFonts w:hint="eastAsia" w:ascii="方正黑体_GBK" w:hAnsi="方正黑体_GBK" w:eastAsia="方正黑体_GBK" w:cs="方正黑体_GBK"/>
                <w:bCs/>
                <w:color w:val="000000"/>
                <w:sz w:val="24"/>
                <w:lang w:val="en-US" w:eastAsia="zh-CN"/>
              </w:rPr>
            </w:pPr>
            <w:r>
              <w:rPr>
                <w:rFonts w:hint="eastAsia" w:ascii="方正黑体_GBK" w:hAnsi="方正黑体_GBK" w:eastAsia="方正黑体_GBK" w:cs="方正黑体_GBK"/>
                <w:bCs/>
                <w:color w:val="000000"/>
                <w:sz w:val="24"/>
                <w:lang w:val="en-US" w:eastAsia="zh-CN"/>
              </w:rPr>
              <w:t>报  价</w:t>
            </w:r>
          </w:p>
        </w:tc>
        <w:tc>
          <w:tcPr>
            <w:tcW w:w="5322" w:type="dxa"/>
            <w:vAlign w:val="center"/>
          </w:tcPr>
          <w:p>
            <w:pPr>
              <w:snapToGrid w:val="0"/>
              <w:spacing w:line="240" w:lineRule="atLeas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价格分统一采用低价优先法，即满足招标文件要求且投标价格最低的投标报价为评标基准价，其价格分为满分</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0分。其他投标供应商的价格分统一按照下列公式计算：</w:t>
            </w:r>
          </w:p>
          <w:p>
            <w:pPr>
              <w:snapToGrid w:val="0"/>
              <w:spacing w:line="240" w:lineRule="atLeast"/>
              <w:ind w:firstLine="480" w:firstLineChars="2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rPr>
              <w:t>投标报价得分＝（评标基准价/投标报价）×</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0％×100</w:t>
            </w:r>
          </w:p>
        </w:tc>
        <w:tc>
          <w:tcPr>
            <w:tcW w:w="809" w:type="dxa"/>
            <w:vAlign w:val="center"/>
          </w:tcPr>
          <w:p>
            <w:pPr>
              <w:snapToGrid w:val="0"/>
              <w:spacing w:line="240" w:lineRule="atLeas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rPr>
              <w:t>0-</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0</w:t>
            </w:r>
          </w:p>
        </w:tc>
      </w:tr>
    </w:tbl>
    <w:p>
      <w:pPr>
        <w:pStyle w:val="6"/>
        <w:ind w:firstLine="0" w:firstLineChars="0"/>
        <w:rPr>
          <w:rFonts w:hint="eastAsia" w:ascii="宋体" w:hAnsi="宋体" w:cs="宋体"/>
          <w:b/>
          <w:szCs w:val="24"/>
        </w:rPr>
      </w:pPr>
    </w:p>
    <w:p>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微软简标宋">
    <w:altName w:val="@微软雅黑"/>
    <w:panose1 w:val="00000000000000000000"/>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07565"/>
    <w:rsid w:val="6C90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unhideWhenUsed/>
    <w:qFormat/>
    <w:uiPriority w:val="1"/>
    <w:pPr>
      <w:spacing w:beforeLines="0" w:afterLines="0"/>
      <w:ind w:left="540"/>
    </w:pPr>
    <w:rPr>
      <w:rFonts w:hint="eastAsia" w:ascii="宋体" w:hAnsi="宋体"/>
      <w:sz w:val="21"/>
      <w:szCs w:val="24"/>
    </w:rPr>
  </w:style>
  <w:style w:type="paragraph" w:styleId="4">
    <w:name w:val="Body Text Indent"/>
    <w:basedOn w:val="1"/>
    <w:next w:val="5"/>
    <w:qFormat/>
    <w:uiPriority w:val="0"/>
    <w:pPr>
      <w:ind w:firstLine="660"/>
    </w:pPr>
    <w:rPr>
      <w:rFonts w:ascii="@微软简标宋" w:hAnsi="@微软简标宋"/>
      <w:color w:val="000000"/>
      <w:sz w:val="24"/>
      <w:szCs w:val="20"/>
    </w:rPr>
  </w:style>
  <w:style w:type="paragraph" w:styleId="5">
    <w:name w:val="envelope return"/>
    <w:basedOn w:val="1"/>
    <w:qFormat/>
    <w:uiPriority w:val="99"/>
    <w:pPr>
      <w:snapToGrid w:val="0"/>
    </w:pPr>
    <w:rPr>
      <w:rFonts w:ascii="Arial" w:hAnsi="Arial"/>
    </w:rPr>
  </w:style>
  <w:style w:type="paragraph" w:styleId="6">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dc:creator>
  <cp:lastModifiedBy>111</cp:lastModifiedBy>
  <dcterms:modified xsi:type="dcterms:W3CDTF">2023-09-14T04:27:38Z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